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853" w:tblpY="36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4"/>
        <w:gridCol w:w="6385"/>
      </w:tblGrid>
      <w:tr w14:paraId="06EE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054" w:type="dxa"/>
            <w:noWrap w:val="0"/>
            <w:vAlign w:val="center"/>
          </w:tcPr>
          <w:p w14:paraId="4BAEC356">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当事人</w:t>
            </w:r>
          </w:p>
        </w:tc>
        <w:tc>
          <w:tcPr>
            <w:tcW w:w="6385" w:type="dxa"/>
            <w:noWrap w:val="0"/>
            <w:vAlign w:val="center"/>
          </w:tcPr>
          <w:p w14:paraId="3A5E58D6">
            <w:pPr>
              <w:jc w:val="center"/>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平顶山天安煤业股份有限公司十二矿</w:t>
            </w:r>
          </w:p>
        </w:tc>
      </w:tr>
      <w:tr w14:paraId="0C23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54" w:type="dxa"/>
            <w:noWrap w:val="0"/>
            <w:vAlign w:val="center"/>
          </w:tcPr>
          <w:p w14:paraId="709FA1C9">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社会信用代码</w:t>
            </w:r>
          </w:p>
        </w:tc>
        <w:tc>
          <w:tcPr>
            <w:tcW w:w="6385" w:type="dxa"/>
            <w:noWrap w:val="0"/>
            <w:vAlign w:val="center"/>
          </w:tcPr>
          <w:p w14:paraId="6EC50DEE">
            <w:pPr>
              <w:jc w:val="center"/>
              <w:rPr>
                <w:rFonts w:hint="default" w:ascii="仿宋_GB2312" w:hAnsi="仿宋_GB2312" w:eastAsia="仿宋_GB2312" w:cs="仿宋_GB2312"/>
                <w:color w:val="auto"/>
                <w:kern w:val="2"/>
                <w:sz w:val="21"/>
                <w:szCs w:val="24"/>
                <w:lang w:val="en-US" w:eastAsia="zh-CN" w:bidi="ar-SA"/>
              </w:rPr>
            </w:pPr>
            <w:r>
              <w:rPr>
                <w:rFonts w:hint="default" w:ascii="仿宋_GB2312" w:hAnsi="仿宋_GB2312" w:eastAsia="仿宋_GB2312" w:cs="仿宋_GB2312"/>
                <w:color w:val="auto"/>
                <w:kern w:val="2"/>
                <w:sz w:val="21"/>
                <w:szCs w:val="24"/>
                <w:lang w:val="en-US" w:eastAsia="zh-CN" w:bidi="ar-SA"/>
              </w:rPr>
              <w:t>9141040077369389X3</w:t>
            </w:r>
          </w:p>
        </w:tc>
      </w:tr>
      <w:tr w14:paraId="0715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2054" w:type="dxa"/>
            <w:noWrap w:val="0"/>
            <w:vAlign w:val="center"/>
          </w:tcPr>
          <w:p w14:paraId="795AA629">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案件名称</w:t>
            </w:r>
          </w:p>
        </w:tc>
        <w:tc>
          <w:tcPr>
            <w:tcW w:w="6385" w:type="dxa"/>
            <w:noWrap w:val="0"/>
            <w:vAlign w:val="center"/>
          </w:tcPr>
          <w:p w14:paraId="36E2D915">
            <w:pPr>
              <w:ind w:firstLine="420" w:firstLineChars="200"/>
              <w:jc w:val="left"/>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平顶山天安煤业股份有限公司十二矿涉嫌未对安全设备进行经常性维护、保养、安全设备的安装、使用不符合国家标准或者行业标准、 未采取措施消除事故隐患违法违规案</w:t>
            </w:r>
          </w:p>
        </w:tc>
      </w:tr>
      <w:tr w14:paraId="615A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trPr>
        <w:tc>
          <w:tcPr>
            <w:tcW w:w="2054" w:type="dxa"/>
            <w:noWrap w:val="0"/>
            <w:vAlign w:val="center"/>
          </w:tcPr>
          <w:p w14:paraId="631D1A0F">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处罚决定书文号</w:t>
            </w:r>
          </w:p>
        </w:tc>
        <w:tc>
          <w:tcPr>
            <w:tcW w:w="6385" w:type="dxa"/>
            <w:noWrap w:val="0"/>
            <w:vAlign w:val="center"/>
          </w:tcPr>
          <w:p w14:paraId="62B369E8">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豫（平）煤监管罚〔2026〕110017号</w:t>
            </w:r>
          </w:p>
        </w:tc>
      </w:tr>
      <w:tr w14:paraId="7BFA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2054" w:type="dxa"/>
            <w:noWrap w:val="0"/>
            <w:vAlign w:val="center"/>
          </w:tcPr>
          <w:p w14:paraId="5324741C">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处罚决定时间</w:t>
            </w:r>
          </w:p>
        </w:tc>
        <w:tc>
          <w:tcPr>
            <w:tcW w:w="6385" w:type="dxa"/>
            <w:noWrap w:val="0"/>
            <w:vAlign w:val="center"/>
          </w:tcPr>
          <w:p w14:paraId="672B0320">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2026年8月10日</w:t>
            </w:r>
          </w:p>
        </w:tc>
      </w:tr>
      <w:tr w14:paraId="7E25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2054" w:type="dxa"/>
            <w:noWrap w:val="0"/>
            <w:vAlign w:val="center"/>
          </w:tcPr>
          <w:p w14:paraId="7A148A29">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处罚结果</w:t>
            </w:r>
          </w:p>
        </w:tc>
        <w:tc>
          <w:tcPr>
            <w:tcW w:w="6385" w:type="dxa"/>
            <w:noWrap w:val="0"/>
            <w:vAlign w:val="center"/>
          </w:tcPr>
          <w:p w14:paraId="6D7F161B">
            <w:pPr>
              <w:ind w:firstLine="420" w:firstLineChars="200"/>
              <w:jc w:val="both"/>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责令限期整改，决定对平顶山天安煤业股份有限公司十二矿处人民币罚款壹拾贰万叁仟元整（¥123,000.00）的行政处罚。</w:t>
            </w:r>
          </w:p>
        </w:tc>
      </w:tr>
      <w:tr w14:paraId="5E57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2054" w:type="dxa"/>
            <w:noWrap w:val="0"/>
            <w:vAlign w:val="center"/>
          </w:tcPr>
          <w:p w14:paraId="309838AE">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处罚事由</w:t>
            </w:r>
          </w:p>
        </w:tc>
        <w:tc>
          <w:tcPr>
            <w:tcW w:w="6385" w:type="dxa"/>
            <w:noWrap w:val="0"/>
            <w:vAlign w:val="center"/>
          </w:tcPr>
          <w:p w14:paraId="7904B62C">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2026年6月10日至12日，平顶山市应急管理局联合河南省工业和信息化厅对平顶山天安煤业股份有限公司十二矿进行行政检查，本次检查中发现该单位存在27条问题，经梳理其中9条问题达到立案标准，这9条问题属于三类违法违规问题</w:t>
            </w:r>
            <w:r>
              <w:rPr>
                <w:rFonts w:hint="eastAsia" w:ascii="仿宋_GB2312" w:hAnsi="仿宋_GB2312" w:eastAsia="仿宋_GB2312" w:cs="仿宋_GB2312"/>
                <w:color w:val="auto"/>
                <w:kern w:val="2"/>
                <w:sz w:val="21"/>
                <w:szCs w:val="24"/>
                <w:lang w:val="en" w:eastAsia="zh-CN" w:bidi="ar-SA"/>
              </w:rPr>
              <w:t>。</w:t>
            </w:r>
          </w:p>
        </w:tc>
      </w:tr>
      <w:tr w14:paraId="5409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4" w:hRule="atLeast"/>
        </w:trPr>
        <w:tc>
          <w:tcPr>
            <w:tcW w:w="2054" w:type="dxa"/>
            <w:noWrap w:val="0"/>
            <w:vAlign w:val="center"/>
          </w:tcPr>
          <w:p w14:paraId="45032A91">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处罚依据</w:t>
            </w:r>
          </w:p>
        </w:tc>
        <w:tc>
          <w:tcPr>
            <w:tcW w:w="6385" w:type="dxa"/>
            <w:noWrap w:val="0"/>
            <w:vAlign w:val="center"/>
          </w:tcPr>
          <w:p w14:paraId="190CE24F">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1.《安全生产法》第九十九条第（三）项</w:t>
            </w:r>
          </w:p>
          <w:p w14:paraId="4E2E875B">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2.《安全生产法》第九十九条第（二）项</w:t>
            </w:r>
          </w:p>
          <w:p w14:paraId="430511A2">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rPr>
            </w:pPr>
            <w:r>
              <w:rPr>
                <w:rFonts w:hint="eastAsia" w:ascii="仿宋_GB2312" w:hAnsi="仿宋_GB2312" w:eastAsia="仿宋_GB2312" w:cs="仿宋_GB2312"/>
                <w:color w:val="auto"/>
                <w:kern w:val="2"/>
                <w:sz w:val="21"/>
                <w:szCs w:val="24"/>
                <w:lang w:val="en-US" w:eastAsia="zh-CN" w:bidi="ar-SA"/>
              </w:rPr>
              <w:t>3.</w:t>
            </w:r>
            <w:bookmarkStart w:id="0" w:name="_GoBack"/>
            <w:bookmarkEnd w:id="0"/>
            <w:r>
              <w:rPr>
                <w:rFonts w:hint="eastAsia" w:ascii="仿宋_GB2312" w:hAnsi="仿宋_GB2312" w:eastAsia="仿宋_GB2312" w:cs="仿宋_GB2312"/>
                <w:color w:val="auto"/>
                <w:kern w:val="2"/>
                <w:sz w:val="21"/>
                <w:szCs w:val="24"/>
                <w:lang w:val="en-US" w:eastAsia="zh-CN" w:bidi="ar-SA"/>
              </w:rPr>
              <w:t>《安全生产法》第一百零二条</w:t>
            </w:r>
          </w:p>
        </w:tc>
      </w:tr>
      <w:tr w14:paraId="35DE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469F6C73">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救济渠道</w:t>
            </w:r>
          </w:p>
        </w:tc>
        <w:tc>
          <w:tcPr>
            <w:tcW w:w="6385" w:type="dxa"/>
            <w:noWrap w:val="0"/>
            <w:vAlign w:val="center"/>
          </w:tcPr>
          <w:p w14:paraId="2D77471E">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行政复议或行政诉讼</w:t>
            </w:r>
          </w:p>
        </w:tc>
      </w:tr>
      <w:tr w14:paraId="2A77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054" w:type="dxa"/>
            <w:noWrap w:val="0"/>
            <w:vAlign w:val="center"/>
          </w:tcPr>
          <w:p w14:paraId="64D28771">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其他</w:t>
            </w:r>
          </w:p>
        </w:tc>
        <w:tc>
          <w:tcPr>
            <w:tcW w:w="6385" w:type="dxa"/>
            <w:noWrap w:val="0"/>
            <w:vAlign w:val="center"/>
          </w:tcPr>
          <w:p w14:paraId="3C5BB3C0">
            <w:pPr>
              <w:rPr>
                <w:rFonts w:hint="eastAsia" w:ascii="仿宋_GB2312" w:hAnsi="仿宋_GB2312" w:eastAsia="仿宋_GB2312" w:cs="仿宋_GB2312"/>
                <w:color w:val="auto"/>
              </w:rPr>
            </w:pPr>
          </w:p>
        </w:tc>
      </w:tr>
    </w:tbl>
    <w:p w14:paraId="07955B8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仿宋_GB2312">
    <w:altName w:val="方正仿宋_GBK"/>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F75630"/>
    <w:rsid w:val="057FE6DB"/>
    <w:rsid w:val="5F7F1C5A"/>
    <w:rsid w:val="767C2DA2"/>
    <w:rsid w:val="7DFF64AE"/>
    <w:rsid w:val="97FD23B7"/>
    <w:rsid w:val="BF3F762A"/>
    <w:rsid w:val="BFD982B4"/>
    <w:rsid w:val="DBF75630"/>
    <w:rsid w:val="F7DBE6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Body Text"/>
    <w:basedOn w:val="1"/>
    <w:next w:val="3"/>
    <w:qFormat/>
    <w:uiPriority w:val="0"/>
    <w:rPr>
      <w:rFonts w:ascii="宋体" w:hAnsi="宋体" w:eastAsia="宋体" w:cs="宋体"/>
      <w:sz w:val="32"/>
      <w:szCs w:val="32"/>
    </w:rPr>
  </w:style>
  <w:style w:type="paragraph" w:styleId="3">
    <w:name w:val="Body Text 2"/>
    <w:basedOn w:val="1"/>
    <w:unhideWhenUsed/>
    <w:qFormat/>
    <w:uiPriority w:val="0"/>
    <w:pPr>
      <w:spacing w:after="120" w:line="48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2025-09-30T01:54:00Z</dcterms:created>
  <dc:creator>丁子</dc:creator>
  <cp:lastModifiedBy>A@T</cp:lastModifiedBy>
  <dcterms:modified xsi:type="dcterms:W3CDTF">2026-08-10T10:10:43Z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BE52F7D28536A18F2333796ACC88502F_43</vt:lpwstr>
  </property>
</Properties>
</file>